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KYC POLICY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The purpose of this policy is to ensure </w:t>
      </w:r>
      <w:proofErr w:type="spellStart"/>
      <w:r w:rsidRPr="00CC7EF6">
        <w:rPr>
          <w:rFonts w:ascii="Times New Roman" w:eastAsia="Times New Roman" w:hAnsi="Times New Roman" w:cs="Times New Roman"/>
          <w:lang w:val="en-US"/>
        </w:rPr>
        <w:t>Metatoken's</w:t>
      </w:r>
      <w:proofErr w:type="spellEnd"/>
      <w:r w:rsidRPr="00CC7EF6">
        <w:rPr>
          <w:rFonts w:ascii="Times New Roman" w:eastAsia="Times New Roman" w:hAnsi="Times New Roman" w:cs="Times New Roman"/>
          <w:lang w:val="en-US"/>
        </w:rPr>
        <w:t xml:space="preserve"> (the "platform") compliance with Anti-Money Laundering (AML) and Know Your Customer (KYC) policies and procedures, and to prevent any illegal activity. According to our policy, the platform cannot provide trading services to users from China, USA, India, South Korea, any other countries in which the services provided on the Platform are prohibited by the laws of the relevant country.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complies with relevant laws, regulations and requirements of country regulatory authorities to ensure that our activities comply with established requirements, including the requirements of the FATF (Financial Action Task Force) for the countries of the European Union.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1. Customer Due Diligence (CDD) Techniques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1.1. Identity verification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strongly encourages customers to provide valid identification documents such as passports, ID cards or driver's licenses to ensure legality and regulatory compliance when conducting transactions.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Methods for verifying a customer's identity include verifying original documents, using identity verification providers, or verifying through other approved channels.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1.2. Assessing the purpose and business relationship</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Evaluate the client's business purpose, intended business relationship, and required services to ensure compliance with regulatory requirements. The platform requires customers to complete an identity verification process before using certain products or services.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Collection and analysis of the client's business plans, financial situation and relevant information.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1.3. Comprehensive assessment</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lastRenderedPageBreak/>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Client personal information: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Full Name: The platform requires the client's full name, including any aliases;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Unique Identification Number: The customer's unique identification number, such as an ID card number, birth certificate number, or passport number. This allows you to verify the client’s identity and establish his uniqueness.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Client organization information (if applicable):</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Legal address or actual address: if the client is a legal entity, the platform requires his legal or actual address. If the legal and actual addresses are different, the platform takes the place of business as the main address;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Date of foundation/registration: determining the date of creation and registration of the client's organization helps confirm its legal status and history of activity;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Legal form, regulations and powers: Understanding the legal, regulations, rules and powers governing the client's organization helps to understand its organizational structure and mode of operation.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Related party information (if applicable):</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Similar identification information for related parties: if the client is a legal entity, the platform requires similar identification information to identify its related parties, such as directors, partners and persons with executive powers;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Full Name: The platform requires the full name of individuals involved in related party activities;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Unique Identification Number: To identify related parties, the platform requires their unique identification number, such as an ID card number, birth certificate number, or passport number.</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1.4. Assessing high-risk clients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Conducting additional due diligence on clients identified as high risk, such as politically exposed persons (PEPs), businesses in high-risk industries, high risk transactions, and clients from high-risk countries.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lastRenderedPageBreak/>
        <w:t>Implementation of stricter control, monitoring and possible restrictions of accounts, including regular assessment of their risk level and business activity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1.5. Monitoring and updating data</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Creation of mechanisms for continuous monitoring, periodic verification and updating of customer information.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Monitoring customer transactions, sources of funds and risks to ensure customer information is accurate and up to date.</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2. Risk assessment and mitigation measures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2.1. Risk assessment</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conducts customer risk assessments to determine the level of identity fraud risk, money laundering risk and terrorist financing risk based on indicators such as the nature of the client's activity, geographic location, type of client and transaction patterns.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Clients are classified as low, medium or high risk and appropriate monitoring measures are determined based on their risk levels.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2.2. Risk Reduction Measures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Anti-Money Laundering Software (AML Software): The platform uses advanced AML software to automatically detect and monitor suspicious transactions and activities. These software systems analyze transactions based on predefined rules and patterns to identify potential money laundering patterns and risk indicators.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lastRenderedPageBreak/>
        <w:t>Transaction Monitoring System: The platform creates a transaction monitoring system to monitor operational activities and identify any suspicious patterns or anomalous transactions. This helps to quickly identify potential money laundering activities and take necessary action.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Identity Verification Service Providers: The platform partners with trusted identity verification service providers to ensure the authenticity and validity of identity documents provided by customers. This ensures that the client's identity is legitimate and reliable.</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3. Identifying suspicious transactions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To ensure compliance with regulatory requirements of our activities, prevent money laundering, terrorist financing and other illegal activities, the platform strives to identify and monitor unusual transactions. The following are the relevant measures: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3.1. Operational activity monitoring</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uses advanced transaction monitoring systems and risk assessment tools to track clients' operational activities and closely monitor the following aspects: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Transactions with large amounts: transactions with unusually large amounts may attract our attention;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Frequent transactions: excessively frequent transactions may also be considered suspicious behavior;</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Patterns of transactions are atypical: patterns of transactions that deviate from the customer's normal behavior may be considered suspicious;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High-Risk Transactions: Transactions identified on the blockchain as related to illegal activity.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3.2. Automatic alerts and risk analysis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Our system generates automatic alerts, identifying transactions that may pose a risk. The platform conducts a risk analysis on these alerts to assess their legitimacy and compliance with regulatory requirements. If alerts indicate potential signs of illegal activity, the platform conducts further investigation and takes follow-up action.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3.3. Manual check</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lastRenderedPageBreak/>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Our professional team manually reviews alerts to ensure accuracy and timeliness. If necessary, the platform can enter into further communication with the client, requesting additional documents or clarification regarding the purpose and source of transactions.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3.4. Regulatory Compliance Reporting and Engagement</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If the platform determines that a transaction exhibits signs of suspicious activity, compliance reports are filed in accordance with applicable laws and regulations. Regulatory compliance reporting may include filing Suspicious Transaction Reports (STRs) or Suspicious Activity Reports (SARs) with the appropriate authorities, or other reports required by the Travel Rule.</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4. User data storage system</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has implemented a user identification and transaction history storage system to securely store documents and data related to user identity information and transaction history. This system simplifies anti-money laundering investigations, compliance with regulatory requirements and prevents information from being lost, damaged or disclosed.</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5. Retention period for identification information and transaction history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complies with applicable legal and regulatory requirements when determining the retention period for customer data. Retention periods may vary by region and business requirements and may include certain time restrictions. If a user's identity information and transaction history is involved in any suspicious activity as part of an ongoing anti-money laundering investigation, and the minimum retention period specified in the previous section has not expired, the platform retains this information until the completion of the money laundering investigation.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6. Assistance in judicial investigations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lastRenderedPageBreak/>
        <w:t>If requested by national, regional judicial institutions, law enforcement agencies or other regulatory authorities, the platform has the right to cooperate in the investigation and provide relevant information and materials as requested by the relevant department or institution.</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7. Anti-Money Laundering Confidentiality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Any of our employees, when performing duties or work related to anti-money laundering, must strictly adhere to confidentiality requirements and keep confidential all user information, suspicious transactions, terrorist financing transactions and any other information received. Such employees are prohibited from disclosing relevant information of any organization, individual or persons not related to the platform.</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8. User Responsibilities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Users should be aware of the following:</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Users are prohibited from sharing their credentials with third parties;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Users are prohibited from renting or transferring their identification documents;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Users are required to actively cooperate with the platform in verifying their identity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b/>
          <w:lang w:val="en-US"/>
        </w:rPr>
      </w:pPr>
      <w:r w:rsidRPr="00CC7EF6">
        <w:rPr>
          <w:rFonts w:ascii="Times New Roman" w:eastAsia="Times New Roman" w:hAnsi="Times New Roman" w:cs="Times New Roman"/>
          <w:b/>
          <w:lang w:val="en-US"/>
        </w:rPr>
        <w:t>9. Interpretation of the KYC policy</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The Platform reserves the right to interpret and change the content of the KYC policy. Depending on the needs of the platform and legal requirements, the platform may make changes to the KYC policy at any time without prior notice to users. These changes may relate to user identity verification requirements, data retention periods, regulatory compliance processes, or any other relevant issues.</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 xml:space="preserve"> </w:t>
      </w:r>
    </w:p>
    <w:p w:rsidR="0045169E" w:rsidRPr="00CC7EF6" w:rsidRDefault="0045169E" w:rsidP="0045169E">
      <w:pPr>
        <w:spacing w:before="240" w:after="240"/>
        <w:jc w:val="both"/>
        <w:rPr>
          <w:rFonts w:ascii="Times New Roman" w:eastAsia="Times New Roman" w:hAnsi="Times New Roman" w:cs="Times New Roman"/>
          <w:lang w:val="en-US"/>
        </w:rPr>
      </w:pPr>
      <w:r w:rsidRPr="00CC7EF6">
        <w:rPr>
          <w:rFonts w:ascii="Times New Roman" w:eastAsia="Times New Roman" w:hAnsi="Times New Roman" w:cs="Times New Roman"/>
          <w:lang w:val="en-US"/>
        </w:rPr>
        <w:t>Users are required to regularly review the latest KYC policy published by the platform to ensure compliance with the latest requirements and regulations.</w:t>
      </w:r>
    </w:p>
    <w:p w:rsidR="0045169E" w:rsidRPr="00CC7EF6" w:rsidRDefault="0045169E" w:rsidP="0045169E">
      <w:pPr>
        <w:rPr>
          <w:lang w:val="en-US"/>
        </w:rPr>
      </w:pPr>
    </w:p>
    <w:p w:rsidR="00373E86" w:rsidRPr="0045169E" w:rsidRDefault="00373E86">
      <w:pPr>
        <w:rPr>
          <w:lang w:val="en-US"/>
        </w:rPr>
      </w:pPr>
    </w:p>
    <w:sectPr w:rsidR="00373E86" w:rsidRPr="0045169E" w:rsidSect="0045169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9E"/>
    <w:rsid w:val="0032138A"/>
    <w:rsid w:val="00373E86"/>
    <w:rsid w:val="0045169E"/>
    <w:rsid w:val="00C97B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45A1"/>
  <w15:chartTrackingRefBased/>
  <w15:docId w15:val="{2A52545D-7146-4989-B599-30C70C15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9E"/>
    <w:pPr>
      <w:spacing w:after="0" w:line="276" w:lineRule="auto"/>
    </w:pPr>
    <w:rPr>
      <w:rFonts w:ascii="Arial" w:eastAsia="Arial" w:hAnsi="Arial" w:cs="Arial"/>
      <w:kern w:val="0"/>
      <w:lang w:val="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Козлов</dc:creator>
  <cp:keywords/>
  <dc:description/>
  <cp:lastModifiedBy>Никита Козлов</cp:lastModifiedBy>
  <cp:revision>1</cp:revision>
  <dcterms:created xsi:type="dcterms:W3CDTF">2024-07-24T14:40:00Z</dcterms:created>
  <dcterms:modified xsi:type="dcterms:W3CDTF">2024-07-24T14:40:00Z</dcterms:modified>
</cp:coreProperties>
</file>